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58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268"/>
        <w:gridCol w:w="2268"/>
        <w:gridCol w:w="2552"/>
      </w:tblGrid>
      <w:tr w:rsidR="00BD617C" w14:paraId="2040C6BB" w14:textId="77777777">
        <w:trPr>
          <w:cantSplit/>
          <w:tblHeader/>
        </w:trPr>
        <w:tc>
          <w:tcPr>
            <w:tcW w:w="9606" w:type="dxa"/>
            <w:gridSpan w:val="4"/>
            <w:shd w:val="clear" w:color="auto" w:fill="DDD9C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7897B01" w14:textId="77777777" w:rsidR="00EA583D" w:rsidRDefault="00000000">
            <w:pPr>
              <w:spacing w:after="0"/>
              <w:jc w:val="center"/>
            </w:pPr>
            <w:r>
              <w:rPr>
                <w:b/>
                <w:sz w:val="24"/>
              </w:rPr>
              <w:t>VTS Committee Work Programme</w:t>
            </w:r>
          </w:p>
        </w:tc>
      </w:tr>
      <w:tr w:rsidR="00BD617C" w14:paraId="63C7A75C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14C6F4" w14:textId="77777777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sz w:val="20"/>
                <w:szCs w:val="20"/>
              </w:rPr>
              <w:t>Standard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21625E" w14:textId="77777777" w:rsidR="00EA583D" w:rsidRDefault="00000000">
            <w:pPr>
              <w:spacing w:after="0"/>
            </w:pPr>
            <w:r>
              <w:rPr>
                <w:sz w:val="20"/>
              </w:rPr>
              <w:t>S1040 Vessel Traffic Services</w:t>
            </w:r>
          </w:p>
        </w:tc>
      </w:tr>
      <w:tr w:rsidR="00BD617C" w:rsidRPr="00520177" w14:paraId="5142651A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6C4DE2" w14:textId="77777777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sz w:val="20"/>
                <w:szCs w:val="20"/>
              </w:rPr>
              <w:t>Topic Area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F4D2A9" w14:textId="77777777" w:rsidR="00EA583D" w:rsidRDefault="00000000">
            <w:pPr>
              <w:spacing w:after="0"/>
            </w:pPr>
            <w:r>
              <w:rPr>
                <w:sz w:val="20"/>
              </w:rPr>
              <w:t>S1040.2 VTS Operations</w:t>
            </w:r>
          </w:p>
        </w:tc>
      </w:tr>
      <w:tr w:rsidR="00BD617C" w14:paraId="51F09EC7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2D69C3" w14:textId="77777777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Task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3F5D72" w14:textId="77777777" w:rsidR="00EA583D" w:rsidRDefault="00000000">
            <w:pPr>
              <w:spacing w:after="0"/>
            </w:pPr>
            <w:r>
              <w:rPr>
                <w:sz w:val="20"/>
              </w:rPr>
              <w:t>Investigate the operational use of digital route and schedule information in future VTS</w:t>
            </w:r>
          </w:p>
        </w:tc>
      </w:tr>
      <w:tr w:rsidR="00BD617C" w14:paraId="080C17EF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081342" w14:textId="77777777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Objectives of the task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D79216" w14:textId="77777777" w:rsidR="00EA583D" w:rsidRDefault="00000000">
            <w:pPr>
              <w:spacing w:after="0"/>
            </w:pPr>
            <w:r>
              <w:rPr>
                <w:sz w:val="20"/>
              </w:rPr>
              <w:t>To assess whether and how route, timing and schedule information exchanged through S-421 and related VTS digital services can support future VTS operational concepts, including continuous monitoring and coordination of vessel movements throughout a VTS area. The task should determine whether a defined Route-Based Operations concept, or further IALA guidance, is warranted.</w:t>
            </w:r>
          </w:p>
        </w:tc>
      </w:tr>
      <w:tr w:rsidR="00BD617C" w14:paraId="565B37DF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FED94E" w14:textId="77777777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Expected outcome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E368FE" w14:textId="77777777" w:rsidR="00EA583D" w:rsidRDefault="00000000">
            <w:pPr>
              <w:spacing w:after="20"/>
            </w:pPr>
            <w:r>
              <w:rPr>
                <w:sz w:val="20"/>
              </w:rPr>
              <w:t>Other: an IALA Committee report / concept paper that:</w:t>
            </w:r>
          </w:p>
          <w:p w14:paraId="503FA214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summarises relevant aviation Trajectory-Based Operations (TBO) experience and identifies principles that may, or may not, be transferable to VTS;</w:t>
            </w:r>
          </w:p>
          <w:p w14:paraId="3439AFE2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describes representative maritime use cases for the operational use of digitally exchanged route, timing and schedule information;</w:t>
            </w:r>
          </w:p>
          <w:p w14:paraId="241D4A0B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assesses potential benefits, limitations, prerequisites and performance measures; and</w:t>
            </w:r>
          </w:p>
          <w:p w14:paraId="12AE52C7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recommends whether a Route-Based Operations concept, new or amended IALA guidance, service-related work, simulation or testbeds should be progressed.</w:t>
            </w:r>
          </w:p>
          <w:p w14:paraId="44AA5A69" w14:textId="77777777" w:rsidR="00EA583D" w:rsidRDefault="00000000">
            <w:pPr>
              <w:spacing w:after="0"/>
            </w:pPr>
            <w:r>
              <w:rPr>
                <w:i/>
                <w:sz w:val="20"/>
              </w:rPr>
              <w:t>The task is exploratory and does not predetermine adoption of a new VTS operating model.</w:t>
            </w:r>
          </w:p>
        </w:tc>
      </w:tr>
      <w:tr w:rsidR="00BD617C" w:rsidRPr="009C0657" w14:paraId="1CB86EA6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7B5C07" w14:textId="77777777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Compelling need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862F3F" w14:textId="77777777" w:rsidR="00EA583D" w:rsidRDefault="00000000">
            <w:pPr>
              <w:spacing w:after="40"/>
            </w:pPr>
            <w:r>
              <w:rPr>
                <w:sz w:val="20"/>
              </w:rPr>
              <w:t>IALA has established, and continues to develop, the technical foundations for digital exchange of route and VTS information through S-421, S-212 and the VTS Technical Service Specifications. These activities define data and service mechanisms, but do not yet provide a systematic assessment of how digitally exchanged route and timing information could be used as an operational reference for monitoring and coordinating vessel traffic.</w:t>
            </w:r>
          </w:p>
          <w:p w14:paraId="35CF27EE" w14:textId="77777777" w:rsidR="00EA583D" w:rsidRDefault="00000000">
            <w:pPr>
              <w:spacing w:after="40"/>
            </w:pPr>
            <w:r>
              <w:rPr>
                <w:sz w:val="20"/>
              </w:rPr>
              <w:t xml:space="preserve">Existing VTS already </w:t>
            </w:r>
            <w:proofErr w:type="gramStart"/>
            <w:r>
              <w:rPr>
                <w:sz w:val="20"/>
              </w:rPr>
              <w:t>monitor</w:t>
            </w:r>
            <w:proofErr w:type="gramEnd"/>
            <w:r>
              <w:rPr>
                <w:sz w:val="20"/>
              </w:rPr>
              <w:t xml:space="preserve"> vessel routes in various forms. The gap is therefore not a choice between “sector-based” and “route-based” monitoring, but whether shared digital route and schedule information can support improved continuity of monitoring, workload allocation, traffic-flow management, digital reporting and coordination throughout a vessel’s transit.</w:t>
            </w:r>
          </w:p>
          <w:p w14:paraId="673B9719" w14:textId="46D5AFCC" w:rsidR="00EA583D" w:rsidRDefault="00000000">
            <w:pPr>
              <w:spacing w:after="40"/>
            </w:pPr>
            <w:r>
              <w:rPr>
                <w:sz w:val="20"/>
              </w:rPr>
              <w:t xml:space="preserve">Aviation TBO provides mature experience in the use of shared trajectories, strategic flow management, digital clearances, collaborative decision-making, workload management and phased automation. Maritime application requires separate </w:t>
            </w:r>
            <w:proofErr w:type="gramStart"/>
            <w:r>
              <w:rPr>
                <w:sz w:val="20"/>
              </w:rPr>
              <w:t>assessment</w:t>
            </w:r>
            <w:proofErr w:type="gramEnd"/>
            <w:r>
              <w:rPr>
                <w:sz w:val="20"/>
              </w:rPr>
              <w:t xml:space="preserve"> because of differences in legal authority, COLREGs, vessel </w:t>
            </w:r>
            <w:proofErr w:type="spellStart"/>
            <w:r>
              <w:rPr>
                <w:sz w:val="20"/>
              </w:rPr>
              <w:t>manoeuvring</w:t>
            </w:r>
            <w:proofErr w:type="spellEnd"/>
            <w:r>
              <w:rPr>
                <w:sz w:val="20"/>
              </w:rPr>
              <w:t xml:space="preserve"> and the Human Element.</w:t>
            </w:r>
          </w:p>
          <w:p w14:paraId="7420786A" w14:textId="77777777" w:rsidR="00EA583D" w:rsidRDefault="00000000">
            <w:pPr>
              <w:spacing w:after="0"/>
            </w:pPr>
            <w:r>
              <w:rPr>
                <w:sz w:val="20"/>
              </w:rPr>
              <w:t>The proposed task builds on Future VTS and existing digital-service tasks and is intended to address the operational concept and associated implications, rather than duplicate technical specification work.</w:t>
            </w:r>
          </w:p>
        </w:tc>
      </w:tr>
      <w:tr w:rsidR="00BD617C" w14:paraId="57450072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A799EC2" w14:textId="77777777" w:rsidR="00ED5C6B" w:rsidRPr="00BF71F7" w:rsidRDefault="00ED5C6B" w:rsidP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noProof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noProof/>
                <w:snapToGrid w:val="0"/>
                <w:sz w:val="20"/>
                <w:szCs w:val="20"/>
              </w:rPr>
              <w:t>Strategic Alignment</w:t>
            </w:r>
          </w:p>
          <w:p w14:paraId="56CC6B1E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Cs/>
                <w:i/>
                <w:iCs/>
                <w:snapToGrid w:val="0"/>
                <w:sz w:val="16"/>
                <w:szCs w:val="16"/>
              </w:rPr>
            </w:pP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36344A" w14:textId="77777777" w:rsidR="00EA583D" w:rsidRDefault="00000000">
            <w:pPr>
              <w:spacing w:after="0"/>
            </w:pPr>
            <w:r>
              <w:rPr>
                <w:b/>
                <w:sz w:val="20"/>
              </w:rPr>
              <w:t>Goal</w:t>
            </w:r>
          </w:p>
          <w:p w14:paraId="6980E547" w14:textId="77777777" w:rsidR="00EA583D" w:rsidRDefault="00000000">
            <w:pPr>
              <w:spacing w:after="40"/>
            </w:pPr>
            <w:r>
              <w:rPr>
                <w:sz w:val="20"/>
              </w:rPr>
              <w:t>G1 - Marine Aids to Navigation are developed and harmonised through international cooperation and the provision of standards.</w:t>
            </w:r>
          </w:p>
          <w:p w14:paraId="10E8D24D" w14:textId="77777777" w:rsidR="00EA583D" w:rsidRDefault="00000000">
            <w:pPr>
              <w:spacing w:after="0"/>
            </w:pPr>
            <w:r>
              <w:rPr>
                <w:b/>
                <w:sz w:val="20"/>
              </w:rPr>
              <w:t>Strategy</w:t>
            </w:r>
          </w:p>
          <w:p w14:paraId="4ED890F7" w14:textId="77777777" w:rsidR="00EA583D" w:rsidRDefault="00000000">
            <w:pPr>
              <w:spacing w:after="20"/>
            </w:pPr>
            <w:r>
              <w:rPr>
                <w:sz w:val="20"/>
              </w:rPr>
              <w:lastRenderedPageBreak/>
              <w:t>S2 - Position IALA as the source of standards, knowledge, and expertise that will enable States to provide Marine Aids to Navigation, in accordance with relevant international obligations and recommendations.</w:t>
            </w:r>
          </w:p>
          <w:p w14:paraId="653E2806" w14:textId="77777777" w:rsidR="00EA583D" w:rsidRDefault="00000000">
            <w:pPr>
              <w:spacing w:after="20"/>
            </w:pPr>
            <w:r>
              <w:rPr>
                <w:sz w:val="20"/>
              </w:rPr>
              <w:t xml:space="preserve">S3 - Coordinate the further development of Marine Aids to Navigation, </w:t>
            </w:r>
            <w:proofErr w:type="gramStart"/>
            <w:r>
              <w:rPr>
                <w:sz w:val="20"/>
              </w:rPr>
              <w:t>taking into account</w:t>
            </w:r>
            <w:proofErr w:type="gramEnd"/>
            <w:r>
              <w:rPr>
                <w:sz w:val="20"/>
              </w:rPr>
              <w:t xml:space="preserve"> evolving operational and functional requirements, new techniques, new technologies and sustainability.</w:t>
            </w:r>
          </w:p>
          <w:p w14:paraId="1C925549" w14:textId="77777777" w:rsidR="00EA583D" w:rsidRDefault="00000000">
            <w:pPr>
              <w:spacing w:after="20"/>
            </w:pPr>
            <w:r>
              <w:rPr>
                <w:sz w:val="20"/>
              </w:rPr>
              <w:t>S5 - Harmonise the information structure and communications for future navigation by creating standards, and by cooperation with other international organizations, to achieve worldwide interoperability of shore and ship systems.</w:t>
            </w:r>
          </w:p>
          <w:p w14:paraId="34DE8299" w14:textId="77777777" w:rsidR="00EA583D" w:rsidRDefault="00000000">
            <w:pPr>
              <w:spacing w:after="0"/>
            </w:pPr>
            <w:r>
              <w:rPr>
                <w:sz w:val="20"/>
              </w:rPr>
              <w:t>S6 - Improve and harmonise the delivery of VTS globally and in a manner consistent with international conventions, national legislation and public expectations, to ensure the safety and efficiency of vessel traffic and to protect the environment.</w:t>
            </w:r>
          </w:p>
        </w:tc>
      </w:tr>
      <w:tr w:rsidR="00BD617C" w14:paraId="03A2870C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2EFF97" w14:textId="77777777" w:rsidR="00BD617C" w:rsidRDefault="00897886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0A4DA7">
              <w:rPr>
                <w:b/>
                <w:bCs/>
                <w:iCs/>
                <w:noProof/>
                <w:snapToGrid w:val="0"/>
                <w:sz w:val="20"/>
                <w:szCs w:val="20"/>
              </w:rPr>
              <w:lastRenderedPageBreak/>
              <w:t xml:space="preserve">Scope </w:t>
            </w:r>
            <w:r w:rsidR="00756758">
              <w:rPr>
                <w:b/>
                <w:bCs/>
                <w:iCs/>
                <w:snapToGrid w:val="0"/>
                <w:sz w:val="20"/>
                <w:szCs w:val="20"/>
              </w:rPr>
              <w:br/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F100617" w14:textId="77777777" w:rsidR="00EA583D" w:rsidRDefault="00000000">
            <w:pPr>
              <w:spacing w:after="20"/>
            </w:pPr>
            <w:r>
              <w:rPr>
                <w:b/>
                <w:sz w:val="20"/>
              </w:rPr>
              <w:t>In Scope:</w:t>
            </w:r>
          </w:p>
          <w:p w14:paraId="04C69014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Review current VTS practices in which route, ETA, schedule and related information are used to monitor or coordinate vessel movements.</w:t>
            </w:r>
          </w:p>
          <w:p w14:paraId="5091FC12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Review relevant aviation TBO concepts and implementation experience, focusing on transferable operational principles and lessons learned rather than direct replication of air traffic control.</w:t>
            </w:r>
          </w:p>
          <w:p w14:paraId="0B803035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Assess the operational use of S-421 and related VTS digital services, including route exchange, traffic clearance, coordination/choreography and S-212 information exchange.</w:t>
            </w:r>
          </w:p>
          <w:p w14:paraId="4FC629C9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Develop representative use cases for different VTS environments, including high-density ports, constrained waterways and VTS areas with multiple operational areas or functions.</w:t>
            </w:r>
          </w:p>
          <w:p w14:paraId="003DD745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Assess implications for continuity of monitoring, allocation of VTS personnel workload, traffic-flow management, digital reporting, slot/Just-in-Time coordination and exception-based monitoring.</w:t>
            </w:r>
          </w:p>
          <w:p w14:paraId="5F781DF9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Assess safety, legal, Human Element, training, data quality/governance, cyber-security, mixed-mode and degraded-mode considerations.</w:t>
            </w:r>
          </w:p>
          <w:p w14:paraId="1E22C43C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Identify suitable performance measures and possible simulation or trial scenarios to test claimed benefits.</w:t>
            </w:r>
          </w:p>
          <w:p w14:paraId="36CEED71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Recommend whether further IALA work is required, including definition of a Route-Based Operations concept or development/amendment of guidance.</w:t>
            </w:r>
          </w:p>
          <w:p w14:paraId="3B77D201" w14:textId="77777777" w:rsidR="00EA583D" w:rsidRDefault="00000000">
            <w:pPr>
              <w:spacing w:before="40" w:after="20"/>
            </w:pPr>
            <w:r>
              <w:rPr>
                <w:b/>
                <w:sz w:val="20"/>
              </w:rPr>
              <w:t xml:space="preserve">Relationship </w:t>
            </w:r>
            <w:proofErr w:type="gramStart"/>
            <w:r>
              <w:rPr>
                <w:b/>
                <w:sz w:val="20"/>
              </w:rPr>
              <w:t>to existing</w:t>
            </w:r>
            <w:proofErr w:type="gramEnd"/>
            <w:r>
              <w:rPr>
                <w:b/>
                <w:sz w:val="20"/>
              </w:rPr>
              <w:t xml:space="preserve"> Work Programme:</w:t>
            </w:r>
          </w:p>
          <w:p w14:paraId="7EC054EA" w14:textId="77777777" w:rsidR="00EA583D" w:rsidRDefault="00000000">
            <w:pPr>
              <w:spacing w:after="40"/>
            </w:pPr>
            <w:r>
              <w:rPr>
                <w:sz w:val="20"/>
              </w:rPr>
              <w:t>The task should build upon, and not duplicate, VTS 1.9.4 (Future VTS), VTS 1.2.1 / 1.3.1 (digital communications), VTS 2.5.2 and subtasks (VTS Technical Service Specifications, including Traffic Clearance, Route Exchange and choreography), and VTS 2.8.1 (S-212).</w:t>
            </w:r>
          </w:p>
          <w:p w14:paraId="33868C12" w14:textId="77777777" w:rsidR="00EA583D" w:rsidRDefault="00000000">
            <w:pPr>
              <w:spacing w:after="20"/>
            </w:pPr>
            <w:r>
              <w:rPr>
                <w:b/>
                <w:sz w:val="20"/>
              </w:rPr>
              <w:t>Out of Scope:</w:t>
            </w:r>
          </w:p>
          <w:p w14:paraId="4BB85A24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Redesign of S-421, S-212 or existing VTS Technical Service Specifications.</w:t>
            </w:r>
          </w:p>
          <w:p w14:paraId="7A66FB7B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>• Prescribing a mandatory VTS operating model or requiring replacement of geographical sectors or existing local arrangements.</w:t>
            </w:r>
          </w:p>
          <w:p w14:paraId="5BCA86CE" w14:textId="77777777" w:rsidR="00EA583D" w:rsidRDefault="00000000">
            <w:pPr>
              <w:spacing w:after="30"/>
              <w:ind w:left="288" w:hanging="202"/>
            </w:pPr>
            <w:r>
              <w:rPr>
                <w:sz w:val="20"/>
              </w:rPr>
              <w:t xml:space="preserve">• Changing the responsibilities of the master or </w:t>
            </w:r>
            <w:proofErr w:type="gramStart"/>
            <w:r>
              <w:rPr>
                <w:sz w:val="20"/>
              </w:rPr>
              <w:t>VTS, or</w:t>
            </w:r>
            <w:proofErr w:type="gramEnd"/>
            <w:r>
              <w:rPr>
                <w:sz w:val="20"/>
              </w:rPr>
              <w:t xml:space="preserve"> introducing aviation-style positive control or separation responsibilities.</w:t>
            </w:r>
          </w:p>
        </w:tc>
      </w:tr>
      <w:tr w:rsidR="00BD617C" w14:paraId="6100E1DE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2394A7" w14:textId="77777777" w:rsidR="00BD617C" w:rsidRDefault="00DD52E2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 xml:space="preserve">Brief and concise description of the work to be undertaken and </w:t>
            </w:r>
            <w:proofErr w:type="spellStart"/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programme</w:t>
            </w:r>
            <w:proofErr w:type="spellEnd"/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 xml:space="preserve"> mile</w:t>
            </w: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softHyphen/>
              <w:t>stones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0A9479" w14:textId="77777777" w:rsidR="00EA583D" w:rsidRDefault="00000000">
            <w:pPr>
              <w:spacing w:after="20"/>
            </w:pPr>
            <w:r>
              <w:rPr>
                <w:b/>
                <w:sz w:val="20"/>
              </w:rPr>
              <w:t>Key milestones include:</w:t>
            </w:r>
          </w:p>
          <w:p w14:paraId="15EEBC94" w14:textId="77777777" w:rsidR="00EA583D" w:rsidRDefault="00000000">
            <w:pPr>
              <w:spacing w:after="20"/>
            </w:pPr>
            <w:r w:rsidRPr="00B5114D">
              <w:rPr>
                <w:sz w:val="20"/>
                <w:highlight w:val="yellow"/>
              </w:rPr>
              <w:t>VTS61 (2027)</w:t>
            </w:r>
            <w:r>
              <w:rPr>
                <w:sz w:val="20"/>
              </w:rPr>
              <w:t xml:space="preserve"> - Confirm scope and terminology; review overlap with existing tasks; agree study framework, use cases and liaison requirements, including relevant aviation expertise.</w:t>
            </w:r>
          </w:p>
          <w:p w14:paraId="02C52C59" w14:textId="77777777" w:rsidR="00EA583D" w:rsidRDefault="00000000">
            <w:pPr>
              <w:spacing w:after="20"/>
            </w:pPr>
            <w:r>
              <w:rPr>
                <w:sz w:val="20"/>
              </w:rPr>
              <w:lastRenderedPageBreak/>
              <w:t xml:space="preserve">Intersessional / </w:t>
            </w:r>
            <w:r w:rsidRPr="00B5114D">
              <w:rPr>
                <w:sz w:val="20"/>
                <w:highlight w:val="yellow"/>
              </w:rPr>
              <w:t>VTS62</w:t>
            </w:r>
            <w:r>
              <w:rPr>
                <w:sz w:val="20"/>
              </w:rPr>
              <w:t xml:space="preserve"> - Review aviation TBO and existing maritime practice; assess operational, Human Element, legal, data and technical implications; prepare draft findings and candidate performance measures.</w:t>
            </w:r>
          </w:p>
          <w:p w14:paraId="6142F6BF" w14:textId="77777777" w:rsidR="00EA583D" w:rsidRDefault="00000000">
            <w:pPr>
              <w:spacing w:after="0"/>
            </w:pPr>
            <w:r w:rsidRPr="00B5114D">
              <w:rPr>
                <w:sz w:val="20"/>
                <w:highlight w:val="yellow"/>
              </w:rPr>
              <w:t>VTS63</w:t>
            </w:r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Finalise</w:t>
            </w:r>
            <w:proofErr w:type="spellEnd"/>
            <w:r>
              <w:rPr>
                <w:sz w:val="20"/>
              </w:rPr>
              <w:t xml:space="preserve"> the Committee report / concept paper and recommend whether further guidance, amendments, simulation/testbeds or subsequent work programme tasks are required.</w:t>
            </w:r>
          </w:p>
        </w:tc>
      </w:tr>
      <w:tr w:rsidR="00BD617C" w14:paraId="3E9DBF71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E5E261" w14:textId="77777777" w:rsidR="00BD617C" w:rsidRDefault="00106C9A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lastRenderedPageBreak/>
              <w:t>Expected numbers of sessions for completion</w:t>
            </w:r>
          </w:p>
        </w:tc>
        <w:tc>
          <w:tcPr>
            <w:tcW w:w="708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2A9030" w14:textId="3F4E70E8" w:rsidR="00EA583D" w:rsidRPr="00B5114D" w:rsidRDefault="00000000">
            <w:pPr>
              <w:spacing w:after="20"/>
              <w:rPr>
                <w:highlight w:val="yellow"/>
              </w:rPr>
            </w:pPr>
            <w:r w:rsidRPr="00B5114D">
              <w:rPr>
                <w:b/>
                <w:sz w:val="20"/>
                <w:highlight w:val="yellow"/>
              </w:rPr>
              <w:t>Session numbers: VTS61, VTS62 and VTS63</w:t>
            </w:r>
            <w:r w:rsidR="00B5114D" w:rsidRPr="00B5114D">
              <w:rPr>
                <w:b/>
                <w:sz w:val="20"/>
                <w:highlight w:val="yellow"/>
              </w:rPr>
              <w:t xml:space="preserve"> </w:t>
            </w:r>
          </w:p>
          <w:p w14:paraId="12EA391D" w14:textId="77777777" w:rsidR="00EA583D" w:rsidRDefault="00000000">
            <w:pPr>
              <w:spacing w:after="0"/>
            </w:pPr>
            <w:r w:rsidRPr="00B5114D">
              <w:rPr>
                <w:sz w:val="20"/>
                <w:highlight w:val="yellow"/>
              </w:rPr>
              <w:t>Expected duration: 3 Committee sessions.</w:t>
            </w:r>
          </w:p>
        </w:tc>
      </w:tr>
      <w:tr w:rsidR="00BD617C" w14:paraId="00B3C0D7" w14:textId="77777777" w:rsidTr="005B0663">
        <w:trPr>
          <w:cantSplit/>
        </w:trPr>
        <w:tc>
          <w:tcPr>
            <w:tcW w:w="251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C61B7B" w14:textId="77777777" w:rsidR="00BD617C" w:rsidRDefault="00756758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Committee notes</w:t>
            </w:r>
          </w:p>
        </w:tc>
        <w:tc>
          <w:tcPr>
            <w:tcW w:w="7088" w:type="dxa"/>
            <w:gridSpan w:val="3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1917D2" w14:textId="77777777" w:rsidR="00EA583D" w:rsidRDefault="00000000">
            <w:pPr>
              <w:spacing w:after="0"/>
            </w:pPr>
            <w:r>
              <w:rPr>
                <w:sz w:val="20"/>
              </w:rPr>
              <w:t>Proposed for the 2027-2031 Work Programme following the development of S-421 and related VTS digital services and discussion of Future VTS.</w:t>
            </w:r>
          </w:p>
        </w:tc>
      </w:tr>
      <w:tr w:rsidR="00BD617C" w14:paraId="11CE61DF" w14:textId="77777777" w:rsidTr="005B0663">
        <w:trPr>
          <w:cantSplit/>
        </w:trPr>
        <w:tc>
          <w:tcPr>
            <w:tcW w:w="2518" w:type="dxa"/>
            <w:vMerge w:val="restart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F99ACD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ind w:firstLine="720"/>
              <w:rPr>
                <w:b/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B461C6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Agreed by session</w:t>
            </w:r>
          </w:p>
        </w:tc>
        <w:tc>
          <w:tcPr>
            <w:tcW w:w="226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717A9DB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TD#</w:t>
            </w:r>
          </w:p>
        </w:tc>
        <w:tc>
          <w:tcPr>
            <w:tcW w:w="2552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DC0C3E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Comments</w:t>
            </w:r>
          </w:p>
        </w:tc>
      </w:tr>
      <w:tr w:rsidR="00BD617C" w14:paraId="416EB82E" w14:textId="77777777" w:rsidTr="005B0663">
        <w:trPr>
          <w:cantSplit/>
        </w:trPr>
        <w:tc>
          <w:tcPr>
            <w:tcW w:w="2518" w:type="dxa"/>
            <w:vMerge/>
          </w:tcPr>
          <w:p w14:paraId="358D5618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240" w:after="120"/>
              <w:rPr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2CA566" w14:textId="77777777" w:rsidR="00EA583D" w:rsidRDefault="00EA583D">
            <w:pPr>
              <w:spacing w:after="0"/>
            </w:pPr>
          </w:p>
        </w:tc>
        <w:tc>
          <w:tcPr>
            <w:tcW w:w="226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D1E2E3" w14:textId="77777777" w:rsidR="00EA583D" w:rsidRDefault="00EA583D">
            <w:pPr>
              <w:spacing w:after="0"/>
            </w:pPr>
          </w:p>
        </w:tc>
        <w:tc>
          <w:tcPr>
            <w:tcW w:w="2552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FA1E72" w14:textId="77777777" w:rsidR="00EA583D" w:rsidRDefault="00EA583D">
            <w:pPr>
              <w:spacing w:after="0"/>
            </w:pPr>
          </w:p>
        </w:tc>
      </w:tr>
      <w:tr w:rsidR="00BD617C" w14:paraId="0DC3B67C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9CA277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240" w:after="12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117C55" w14:textId="77777777" w:rsidR="00EA583D" w:rsidRDefault="00000000">
            <w:pPr>
              <w:spacing w:after="0"/>
            </w:pPr>
            <w:r>
              <w:rPr>
                <w:b/>
                <w:sz w:val="20"/>
              </w:rPr>
              <w:t>Approved by Council</w:t>
            </w:r>
          </w:p>
        </w:tc>
        <w:tc>
          <w:tcPr>
            <w:tcW w:w="226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DB9F33" w14:textId="77777777" w:rsidR="00EA583D" w:rsidRDefault="00000000">
            <w:pPr>
              <w:spacing w:after="0"/>
            </w:pPr>
            <w:r>
              <w:rPr>
                <w:i/>
                <w:sz w:val="20"/>
              </w:rPr>
              <w:t>(Council Session)</w:t>
            </w:r>
          </w:p>
        </w:tc>
        <w:tc>
          <w:tcPr>
            <w:tcW w:w="2552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772497" w14:textId="77777777" w:rsidR="00EA583D" w:rsidRDefault="00000000">
            <w:pPr>
              <w:spacing w:after="0"/>
            </w:pPr>
            <w:r>
              <w:rPr>
                <w:i/>
                <w:sz w:val="20"/>
              </w:rPr>
              <w:t>(Date)</w:t>
            </w:r>
          </w:p>
        </w:tc>
      </w:tr>
      <w:tr w:rsidR="00BD617C" w14:paraId="30DCC55D" w14:textId="77777777" w:rsidTr="005B0663">
        <w:trPr>
          <w:cantSplit/>
        </w:trPr>
        <w:tc>
          <w:tcPr>
            <w:tcW w:w="25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3C6FD1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240" w:after="12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9A6451" w14:textId="77777777" w:rsidR="00EA583D" w:rsidRDefault="00000000">
            <w:pPr>
              <w:spacing w:after="0"/>
            </w:pPr>
            <w:r>
              <w:rPr>
                <w:b/>
                <w:sz w:val="20"/>
              </w:rPr>
              <w:t>Revision Notes:</w:t>
            </w:r>
          </w:p>
        </w:tc>
        <w:tc>
          <w:tcPr>
            <w:tcW w:w="4820" w:type="dxa"/>
            <w:gridSpan w:val="2"/>
            <w:shd w:val="clear" w:color="auto" w:fill="D0CECE" w:themeFill="background2" w:themeFillShade="E6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074488" w14:textId="77777777" w:rsidR="00EA583D" w:rsidRDefault="00000000">
            <w:pPr>
              <w:spacing w:after="0"/>
            </w:pPr>
            <w:r>
              <w:rPr>
                <w:sz w:val="20"/>
              </w:rPr>
              <w:t>Initial proposal for consideration at VTS60.</w:t>
            </w:r>
          </w:p>
        </w:tc>
      </w:tr>
    </w:tbl>
    <w:p w14:paraId="208C3DDB" w14:textId="77777777" w:rsidR="00B427D6" w:rsidRDefault="00B427D6"/>
    <w:sectPr w:rsidR="00B427D6" w:rsidSect="001512D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BD3E0" w14:textId="77777777" w:rsidR="00B427D6" w:rsidRDefault="00B427D6" w:rsidP="008C4582">
      <w:pPr>
        <w:spacing w:after="0"/>
      </w:pPr>
      <w:r>
        <w:separator/>
      </w:r>
    </w:p>
  </w:endnote>
  <w:endnote w:type="continuationSeparator" w:id="0">
    <w:p w14:paraId="73761219" w14:textId="77777777" w:rsidR="00B427D6" w:rsidRDefault="00B427D6" w:rsidP="008C4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27B22" w14:textId="77777777" w:rsidR="00B427D6" w:rsidRDefault="00B427D6" w:rsidP="008C4582">
      <w:pPr>
        <w:spacing w:after="0"/>
      </w:pPr>
      <w:r>
        <w:separator/>
      </w:r>
    </w:p>
  </w:footnote>
  <w:footnote w:type="continuationSeparator" w:id="0">
    <w:p w14:paraId="7E11EBCA" w14:textId="77777777" w:rsidR="00B427D6" w:rsidRDefault="00B427D6" w:rsidP="008C4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5ACC"/>
    <w:multiLevelType w:val="multilevel"/>
    <w:tmpl w:val="05245AC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D9553B"/>
    <w:multiLevelType w:val="hybridMultilevel"/>
    <w:tmpl w:val="0E9CB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B2C9B"/>
    <w:multiLevelType w:val="hybridMultilevel"/>
    <w:tmpl w:val="D9BA57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D304A6"/>
    <w:multiLevelType w:val="hybridMultilevel"/>
    <w:tmpl w:val="299830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D7C22"/>
    <w:multiLevelType w:val="hybridMultilevel"/>
    <w:tmpl w:val="F56CFB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2430B5"/>
    <w:multiLevelType w:val="hybridMultilevel"/>
    <w:tmpl w:val="7A7C4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6" w15:restartNumberingAfterBreak="0">
    <w:nsid w:val="430F48EB"/>
    <w:multiLevelType w:val="hybridMultilevel"/>
    <w:tmpl w:val="5FC46D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F5D8D"/>
    <w:multiLevelType w:val="hybridMultilevel"/>
    <w:tmpl w:val="72E05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E4EDB"/>
    <w:multiLevelType w:val="hybridMultilevel"/>
    <w:tmpl w:val="CEF4F1D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754958"/>
    <w:multiLevelType w:val="hybridMultilevel"/>
    <w:tmpl w:val="F46A2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6529403">
    <w:abstractNumId w:val="0"/>
  </w:num>
  <w:num w:numId="2" w16cid:durableId="1771201773">
    <w:abstractNumId w:val="4"/>
  </w:num>
  <w:num w:numId="3" w16cid:durableId="2111006993">
    <w:abstractNumId w:val="2"/>
  </w:num>
  <w:num w:numId="4" w16cid:durableId="22950297">
    <w:abstractNumId w:val="9"/>
  </w:num>
  <w:num w:numId="5" w16cid:durableId="610477786">
    <w:abstractNumId w:val="8"/>
  </w:num>
  <w:num w:numId="6" w16cid:durableId="836118266">
    <w:abstractNumId w:val="3"/>
  </w:num>
  <w:num w:numId="7" w16cid:durableId="2117403096">
    <w:abstractNumId w:val="5"/>
  </w:num>
  <w:num w:numId="8" w16cid:durableId="1386294676">
    <w:abstractNumId w:val="6"/>
  </w:num>
  <w:num w:numId="9" w16cid:durableId="840895484">
    <w:abstractNumId w:val="7"/>
  </w:num>
  <w:num w:numId="10" w16cid:durableId="1089084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xMDE1NjG3tDSzNLZU0lEKTi0uzszPAykwrAUAkIwuJCwAAAA="/>
  </w:docVars>
  <w:rsids>
    <w:rsidRoot w:val="00BD617C"/>
    <w:rsid w:val="000078C2"/>
    <w:rsid w:val="00012FAE"/>
    <w:rsid w:val="00106C9A"/>
    <w:rsid w:val="001512DB"/>
    <w:rsid w:val="001C00DD"/>
    <w:rsid w:val="001C28EF"/>
    <w:rsid w:val="002517B6"/>
    <w:rsid w:val="002E2F25"/>
    <w:rsid w:val="002E7BB2"/>
    <w:rsid w:val="003A35F3"/>
    <w:rsid w:val="00444606"/>
    <w:rsid w:val="00447379"/>
    <w:rsid w:val="00474975"/>
    <w:rsid w:val="004800A1"/>
    <w:rsid w:val="004A7360"/>
    <w:rsid w:val="00520177"/>
    <w:rsid w:val="00562644"/>
    <w:rsid w:val="00587F65"/>
    <w:rsid w:val="00596CDC"/>
    <w:rsid w:val="005B0663"/>
    <w:rsid w:val="00615D8C"/>
    <w:rsid w:val="006E7916"/>
    <w:rsid w:val="006F7CFE"/>
    <w:rsid w:val="00716E95"/>
    <w:rsid w:val="00742B0B"/>
    <w:rsid w:val="00750853"/>
    <w:rsid w:val="00756758"/>
    <w:rsid w:val="00776436"/>
    <w:rsid w:val="007A7267"/>
    <w:rsid w:val="008721FD"/>
    <w:rsid w:val="00897886"/>
    <w:rsid w:val="00897FAF"/>
    <w:rsid w:val="008B09A7"/>
    <w:rsid w:val="008C4582"/>
    <w:rsid w:val="008D039D"/>
    <w:rsid w:val="008D3234"/>
    <w:rsid w:val="00930748"/>
    <w:rsid w:val="009434A1"/>
    <w:rsid w:val="009C0657"/>
    <w:rsid w:val="009C1E64"/>
    <w:rsid w:val="009E1877"/>
    <w:rsid w:val="009F5476"/>
    <w:rsid w:val="00A12285"/>
    <w:rsid w:val="00AC3EB4"/>
    <w:rsid w:val="00B34056"/>
    <w:rsid w:val="00B427D6"/>
    <w:rsid w:val="00B5114D"/>
    <w:rsid w:val="00B52F76"/>
    <w:rsid w:val="00BA5DA2"/>
    <w:rsid w:val="00BC7703"/>
    <w:rsid w:val="00BD617C"/>
    <w:rsid w:val="00C259DD"/>
    <w:rsid w:val="00C344A8"/>
    <w:rsid w:val="00C724D8"/>
    <w:rsid w:val="00C83A5A"/>
    <w:rsid w:val="00CD1E66"/>
    <w:rsid w:val="00CD449D"/>
    <w:rsid w:val="00D01EFA"/>
    <w:rsid w:val="00D4239C"/>
    <w:rsid w:val="00D42C12"/>
    <w:rsid w:val="00D9249D"/>
    <w:rsid w:val="00D93852"/>
    <w:rsid w:val="00D9593F"/>
    <w:rsid w:val="00DD52E2"/>
    <w:rsid w:val="00DE762D"/>
    <w:rsid w:val="00EA46A5"/>
    <w:rsid w:val="00EA583D"/>
    <w:rsid w:val="00EB1420"/>
    <w:rsid w:val="00ED5C6B"/>
    <w:rsid w:val="00F607BE"/>
    <w:rsid w:val="00F818E3"/>
    <w:rsid w:val="00F92926"/>
    <w:rsid w:val="00FC0438"/>
    <w:rsid w:val="00FC3F86"/>
    <w:rsid w:val="00FF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2DEAE"/>
  <w15:docId w15:val="{0D06812A-0602-4814-BA73-3A464174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djustRightInd w:val="0"/>
      <w:snapToGrid w:val="0"/>
      <w:spacing w:after="200"/>
    </w:pPr>
    <w:rPr>
      <w:rFonts w:ascii="Tahoma" w:eastAsia="Microsoft YaHei" w:hAnsi="Tahoma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1512DB"/>
    <w:pPr>
      <w:keepLines/>
      <w:pageBreakBefore/>
      <w:adjustRightInd/>
      <w:snapToGrid/>
      <w:spacing w:after="0"/>
      <w:ind w:left="1418" w:hanging="1418"/>
      <w:outlineLvl w:val="0"/>
    </w:pPr>
    <w:rPr>
      <w:rFonts w:ascii="Calibri" w:eastAsia="Times New Roman" w:hAnsi="Calibri" w:cs="Arial"/>
      <w:b/>
      <w:color w:val="44546A" w:themeColor="text2"/>
      <w:kern w:val="28"/>
      <w:sz w:val="28"/>
      <w:szCs w:val="24"/>
      <w:lang w:val="en-GB" w:eastAsia="de-DE"/>
      <w14:textFill>
        <w14:solidFill>
          <w14:schemeClr w14:val="tx2">
            <w14:lumMod w14:val="60000"/>
            <w14:lumOff w14:val="40000"/>
            <w14:lumMod w14:val="7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3">
    <w:name w:val="Body Text 3"/>
    <w:basedOn w:val="Normal"/>
    <w:link w:val="BodyText3Char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djustRightInd/>
      <w:snapToGrid/>
      <w:spacing w:before="240" w:after="120"/>
      <w:ind w:left="720"/>
    </w:pPr>
    <w:rPr>
      <w:rFonts w:ascii="Arial" w:eastAsia="SimSun" w:hAnsi="Arial" w:cs="Times New Roman"/>
      <w:bCs/>
      <w:i/>
      <w:iCs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BodyText3Char">
    <w:name w:val="Body Text 3 Char"/>
    <w:basedOn w:val="DefaultParagraphFont"/>
    <w:link w:val="BodyText3"/>
    <w:rPr>
      <w:rFonts w:ascii="Arial" w:eastAsia="SimSun" w:hAnsi="Arial" w:cs="Times New Roman"/>
      <w:bCs/>
      <w:i/>
      <w:iCs/>
      <w:kern w:val="0"/>
      <w:sz w:val="22"/>
      <w:szCs w:val="24"/>
      <w:lang w:val="en-GB" w:eastAsia="en-US"/>
    </w:rPr>
  </w:style>
  <w:style w:type="paragraph" w:customStyle="1" w:styleId="1">
    <w:name w:val="列表段落1"/>
    <w:basedOn w:val="Normal"/>
    <w:uiPriority w:val="34"/>
    <w:qFormat/>
    <w:pPr>
      <w:adjustRightInd/>
      <w:snapToGrid/>
      <w:spacing w:after="0"/>
      <w:ind w:left="720"/>
      <w:contextualSpacing/>
    </w:pPr>
    <w:rPr>
      <w:rFonts w:ascii="Arial" w:eastAsiaTheme="minorEastAsia" w:hAnsi="Arial" w:cs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ahoma" w:eastAsia="Microsoft YaHei" w:hAnsi="Tahoma"/>
      <w:kern w:val="0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ahoma" w:eastAsia="Microsoft YaHei" w:hAnsi="Tahoma"/>
      <w:kern w:val="0"/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Microsoft YaHei" w:hAnsi="Tahoma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ahoma" w:eastAsia="Microsoft YaHei" w:hAnsi="Tahoma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ahoma" w:eastAsia="Microsoft YaHei" w:hAnsi="Tahoma"/>
      <w:kern w:val="0"/>
      <w:sz w:val="18"/>
      <w:szCs w:val="18"/>
    </w:rPr>
  </w:style>
  <w:style w:type="paragraph" w:styleId="ListParagraph">
    <w:name w:val="List Paragraph"/>
    <w:basedOn w:val="Normal"/>
    <w:uiPriority w:val="34"/>
    <w:qFormat/>
    <w:rsid w:val="00F818E3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1512DB"/>
    <w:rPr>
      <w:rFonts w:ascii="Calibri" w:eastAsia="Times New Roman" w:hAnsi="Calibri" w:cs="Arial"/>
      <w:b/>
      <w:color w:val="44546A" w:themeColor="text2"/>
      <w:kern w:val="28"/>
      <w:sz w:val="28"/>
      <w:szCs w:val="24"/>
      <w:lang w:val="en-GB" w:eastAsia="de-DE"/>
      <w14:textFill>
        <w14:solidFill>
          <w14:schemeClr w14:val="tx2">
            <w14:lumMod w14:val="60000"/>
            <w14:lumOff w14:val="40000"/>
            <w14:lumMod w14:val="75000"/>
          </w14:schemeClr>
        </w14:solidFill>
      </w14:textFill>
    </w:rPr>
  </w:style>
  <w:style w:type="table" w:styleId="TableGrid">
    <w:name w:val="Table Grid"/>
    <w:basedOn w:val="TableNormal"/>
    <w:uiPriority w:val="59"/>
    <w:rsid w:val="001512DB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B064EA-1FB3-4EFC-94B2-2B2798DEFD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4325F-F624-4BCC-BD10-DE7259614BB3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16B10821-D653-4E9F-842D-DF1CE1564D9A}"/>
</file>

<file path=customXml/itemProps5.xml><?xml version="1.0" encoding="utf-8"?>
<ds:datastoreItem xmlns:ds="http://schemas.openxmlformats.org/officeDocument/2006/customXml" ds:itemID="{8DE59AA6-37D4-4A13-94BE-F5E48754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1006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New VTS Task - Operational Use of Digital Route and Schedule Information</dc:title>
  <dc:subject>IALA VTS Committee Work Programme 2027-2031</dc:subject>
  <dc:creator>15000234923@163.com</dc:creator>
  <cp:keywords>IALA, VTS, S-421, Route Exchange, Route-Based Operations, TBO, Future VTS</cp:keywords>
  <cp:lastModifiedBy>Dmitry Rostopshin</cp:lastModifiedBy>
  <cp:revision>9</cp:revision>
  <dcterms:created xsi:type="dcterms:W3CDTF">2021-10-12T12:26:00Z</dcterms:created>
  <dcterms:modified xsi:type="dcterms:W3CDTF">2026-08-22T10:44:00Z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6B0E574B64F542FFDE27EC60D507FF37</vt:lpwstr>
  </property>
  <property fmtid="{D5CDD505-2E9C-101B-9397-08002B2CF9AE}" pid="3" name="KSOProductBuildVer">
    <vt:lpwstr>2052-11.11.1</vt:lpwstr>
  </property>
  <property fmtid="{D5CDD505-2E9C-101B-9397-08002B2CF9AE}" pid="4" name="ContentTypeId">
    <vt:lpwstr>0x010100FB4C6AB7F4ADAA4ABC48D93214FE8FD2</vt:lpwstr>
  </property>
  <property fmtid="{D5CDD505-2E9C-101B-9397-08002B2CF9AE}" pid="5" name="MediaServiceImageTags">
    <vt:lpwstr/>
  </property>
  <property fmtid="{D5CDD505-2E9C-101B-9397-08002B2CF9AE}" pid="7" name="docLang">
    <vt:lpwstr>en</vt:lpwstr>
  </property>
</Properties>
</file>